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jc w:val="center"/>
      </w:pPr>
      <w:r>
        <w:rPr>
          <w:rFonts w:ascii="Calibri" w:cs="Calibri" w:eastAsia="Calibri" w:hAnsi="Calibri"/>
          <w:b/>
          <w:bCs/>
          <w:color w:val="1F3A5F"/>
          <w:sz w:val="34"/>
          <w:szCs w:val="34"/>
        </w:rPr>
        <w:t xml:space="preserve">ALG TECHNOLOGY</w:t>
      </w:r>
    </w:p>
    <w:p>
      <w:pPr>
        <w:spacing w:after="60"/>
        <w:jc w:val="center"/>
      </w:pPr>
      <w:r>
        <w:rPr>
          <w:rFonts w:ascii="Calibri" w:cs="Calibri" w:eastAsia="Calibri" w:hAnsi="Calibri"/>
          <w:sz w:val="19"/>
          <w:szCs w:val="19"/>
        </w:rPr>
        <w:t xml:space="preserve">CONG TY TNHH CONG NGHE ALG  |  Ho Chi Minh City, Vietnam</w:t>
      </w:r>
    </w:p>
    <w:p>
      <w:pPr>
        <w:spacing w:after="120"/>
        <w:jc w:val="center"/>
      </w:pPr>
      <w:r>
        <w:rPr>
          <w:rFonts w:ascii="Calibri" w:cs="Calibri" w:eastAsia="Calibri" w:hAnsi="Calibri"/>
          <w:b/>
          <w:bCs/>
          <w:color w:val="1F3A5F"/>
          <w:sz w:val="19"/>
          <w:szCs w:val="19"/>
        </w:rPr>
        <w:t xml:space="preserve">From Drawing to Export – End-to-End Mechanical Manufacturing &amp; Export Coordination</w:t>
      </w:r>
    </w:p>
    <w:p>
      <w:pPr>
        <w:pBdr>
          <w:bottom w:val="single" w:color="1F3A5F" w:sz="6" w:space="1"/>
        </w:pBdr>
        <w:spacing w:after="40" w:before="120"/>
      </w:pPr>
      <w:r>
        <w:rPr>
          <w:rFonts w:ascii="Calibri" w:cs="Calibri" w:eastAsia="Calibri" w:hAnsi="Calibri"/>
          <w:b/>
          <w:bCs/>
          <w:color w:val="1F3A5F"/>
          <w:sz w:val="21"/>
          <w:szCs w:val="21"/>
        </w:rPr>
        <w:t xml:space="preserve">About us</w:t>
      </w:r>
    </w:p>
    <w:p>
      <w:pPr>
        <w:spacing w:after="60"/>
      </w:pPr>
      <w:r>
        <w:rPr>
          <w:rFonts w:ascii="Calibri" w:cs="Calibri" w:eastAsia="Calibri" w:hAnsi="Calibri"/>
          <w:sz w:val="19"/>
          <w:szCs w:val="19"/>
        </w:rPr>
        <w:t xml:space="preserve">ALG Technology is a Vietnamese manufacturing and export coordination company for custom metal parts. Buyers contract with ALG and pay ALG; ALG reviews the drawing, selects the right manufacturing source from its partner network in Southern Vietnam, and manages production, quality inspection, packing, export documentation and shipment. One contact and one commercial counterparty from enquiry to delivery.</w:t>
      </w:r>
    </w:p>
    <w:p>
      <w:pPr>
        <w:pBdr>
          <w:bottom w:val="single" w:color="1F3A5F" w:sz="6" w:space="1"/>
        </w:pBdr>
        <w:spacing w:after="40" w:before="120"/>
      </w:pPr>
      <w:r>
        <w:rPr>
          <w:rFonts w:ascii="Calibri" w:cs="Calibri" w:eastAsia="Calibri" w:hAnsi="Calibri"/>
          <w:b/>
          <w:bCs/>
          <w:color w:val="1F3A5F"/>
          <w:sz w:val="21"/>
          <w:szCs w:val="21"/>
        </w:rPr>
        <w:t xml:space="preserve">What we supply</w:t>
      </w:r>
    </w:p>
    <w:p>
      <w:pPr>
        <w:pStyle w:val="ListParagraph"/>
        <w:numPr>
          <w:ilvl w:val="0"/>
          <w:numId w:val="2"/>
        </w:numPr>
        <w:spacing w:after="30"/>
      </w:pPr>
      <w:r>
        <w:rPr>
          <w:rFonts w:ascii="Calibri" w:cs="Calibri" w:eastAsia="Calibri" w:hAnsi="Calibri"/>
          <w:b/>
          <w:bCs/>
          <w:sz w:val="19"/>
          <w:szCs w:val="19"/>
        </w:rPr>
        <w:t xml:space="preserve">Sheet metal fabrication: </w:t>
      </w:r>
      <w:r>
        <w:rPr>
          <w:rFonts w:ascii="Calibri" w:cs="Calibri" w:eastAsia="Calibri" w:hAnsi="Calibri"/>
          <w:sz w:val="19"/>
          <w:szCs w:val="19"/>
        </w:rPr>
        <w:t xml:space="preserve">laser cutting, CNC punching, bending, welding, assembly – enclosures, cabinets, frames, brackets.</w:t>
      </w:r>
    </w:p>
    <w:p>
      <w:pPr>
        <w:pStyle w:val="ListParagraph"/>
        <w:numPr>
          <w:ilvl w:val="0"/>
          <w:numId w:val="2"/>
        </w:numPr>
        <w:spacing w:after="30"/>
      </w:pPr>
      <w:r>
        <w:rPr>
          <w:rFonts w:ascii="Calibri" w:cs="Calibri" w:eastAsia="Calibri" w:hAnsi="Calibri"/>
          <w:b/>
          <w:bCs/>
          <w:sz w:val="19"/>
          <w:szCs w:val="19"/>
        </w:rPr>
        <w:t xml:space="preserve">CNC machining: </w:t>
      </w:r>
      <w:r>
        <w:rPr>
          <w:rFonts w:ascii="Calibri" w:cs="Calibri" w:eastAsia="Calibri" w:hAnsi="Calibri"/>
          <w:sz w:val="19"/>
          <w:szCs w:val="19"/>
        </w:rPr>
        <w:t xml:space="preserve">milled and turned components, prototypes to medium-volume production.</w:t>
      </w:r>
    </w:p>
    <w:p>
      <w:pPr>
        <w:pStyle w:val="ListParagraph"/>
        <w:numPr>
          <w:ilvl w:val="0"/>
          <w:numId w:val="2"/>
        </w:numPr>
        <w:spacing w:after="30"/>
      </w:pPr>
      <w:r>
        <w:rPr>
          <w:rFonts w:ascii="Calibri" w:cs="Calibri" w:eastAsia="Calibri" w:hAnsi="Calibri"/>
          <w:b/>
          <w:bCs/>
          <w:sz w:val="19"/>
          <w:szCs w:val="19"/>
        </w:rPr>
        <w:t xml:space="preserve">Metal stamping: </w:t>
      </w:r>
      <w:r>
        <w:rPr>
          <w:rFonts w:ascii="Calibri" w:cs="Calibri" w:eastAsia="Calibri" w:hAnsi="Calibri"/>
          <w:sz w:val="19"/>
          <w:szCs w:val="19"/>
        </w:rPr>
        <w:t xml:space="preserve">blanking, piercing, forming – from first samples to series production.</w:t>
      </w:r>
    </w:p>
    <w:p>
      <w:pPr>
        <w:pStyle w:val="ListParagraph"/>
        <w:numPr>
          <w:ilvl w:val="0"/>
          <w:numId w:val="2"/>
        </w:numPr>
        <w:spacing w:after="30"/>
      </w:pPr>
      <w:r>
        <w:rPr>
          <w:rFonts w:ascii="Calibri" w:cs="Calibri" w:eastAsia="Calibri" w:hAnsi="Calibri"/>
          <w:b/>
          <w:bCs/>
          <w:sz w:val="19"/>
          <w:szCs w:val="19"/>
        </w:rPr>
        <w:t xml:space="preserve">Tool &amp; die: </w:t>
      </w:r>
      <w:r>
        <w:rPr>
          <w:rFonts w:ascii="Calibri" w:cs="Calibri" w:eastAsia="Calibri" w:hAnsi="Calibri"/>
          <w:sz w:val="19"/>
          <w:szCs w:val="19"/>
        </w:rPr>
        <w:t xml:space="preserve">stamping die design review, die build follow-up, try-out and first-article coordination.</w:t>
      </w:r>
    </w:p>
    <w:p>
      <w:pPr>
        <w:pStyle w:val="ListParagraph"/>
        <w:numPr>
          <w:ilvl w:val="0"/>
          <w:numId w:val="2"/>
        </w:numPr>
        <w:spacing w:after="30"/>
      </w:pPr>
      <w:r>
        <w:rPr>
          <w:rFonts w:ascii="Calibri" w:cs="Calibri" w:eastAsia="Calibri" w:hAnsi="Calibri"/>
          <w:b/>
          <w:bCs/>
          <w:sz w:val="19"/>
          <w:szCs w:val="19"/>
        </w:rPr>
        <w:t xml:space="preserve">Secondary processes: </w:t>
      </w:r>
      <w:r>
        <w:rPr>
          <w:rFonts w:ascii="Calibri" w:cs="Calibri" w:eastAsia="Calibri" w:hAnsi="Calibri"/>
          <w:sz w:val="19"/>
          <w:szCs w:val="19"/>
        </w:rPr>
        <w:t xml:space="preserve">welding, surface treatment, assembly, inspection, export packaging.</w:t>
      </w:r>
    </w:p>
    <w:p>
      <w:pPr>
        <w:spacing w:after="40"/>
      </w:pPr>
      <w:r>
        <w:rPr>
          <w:rFonts w:ascii="Calibri" w:cs="Calibri" w:eastAsia="Calibri" w:hAnsi="Calibri"/>
          <w:sz w:val="19"/>
          <w:szCs w:val="19"/>
        </w:rPr>
        <w:t xml:space="preserve">Materials: carbon steel, stainless steel, aluminium, galvanised steel and others on request. Manufacturing to customer drawings (OEM) or development from a concept (ODM).</w:t>
      </w:r>
    </w:p>
    <w:p>
      <w:pPr>
        <w:pBdr>
          <w:bottom w:val="single" w:color="1F3A5F" w:sz="6" w:space="1"/>
        </w:pBdr>
        <w:spacing w:after="40" w:before="120"/>
      </w:pPr>
      <w:r>
        <w:rPr>
          <w:rFonts w:ascii="Calibri" w:cs="Calibri" w:eastAsia="Calibri" w:hAnsi="Calibri"/>
          <w:b/>
          <w:bCs/>
          <w:color w:val="1F3A5F"/>
          <w:sz w:val="21"/>
          <w:szCs w:val="21"/>
        </w:rPr>
        <w:t xml:space="preserve">Why ALG</w:t>
      </w:r>
    </w:p>
    <w:p>
      <w:pPr>
        <w:pStyle w:val="ListParagraph"/>
        <w:numPr>
          <w:ilvl w:val="0"/>
          <w:numId w:val="2"/>
        </w:numPr>
        <w:spacing w:after="30"/>
      </w:pPr>
      <w:r>
        <w:rPr>
          <w:rFonts w:ascii="Calibri" w:cs="Calibri" w:eastAsia="Calibri" w:hAnsi="Calibri"/>
          <w:sz w:val="19"/>
          <w:szCs w:val="19"/>
        </w:rPr>
        <w:t xml:space="preserve">Engineering-led: managed by a mechanical engineer specialised in press tooling (Pusan National University, Korea), working in the field since 2014. Every drawing is reviewed for manufacturability before sourcing.</w:t>
      </w:r>
    </w:p>
    <w:p>
      <w:pPr>
        <w:pStyle w:val="ListParagraph"/>
        <w:numPr>
          <w:ilvl w:val="0"/>
          <w:numId w:val="2"/>
        </w:numPr>
        <w:spacing w:after="30"/>
      </w:pPr>
      <w:r>
        <w:rPr>
          <w:rFonts w:ascii="Calibri" w:cs="Calibri" w:eastAsia="Calibri" w:hAnsi="Calibri"/>
          <w:sz w:val="19"/>
          <w:szCs w:val="19"/>
        </w:rPr>
        <w:t xml:space="preserve">Industry background: automotive components, electrical equipment, home appliances, rail components.</w:t>
      </w:r>
    </w:p>
    <w:p>
      <w:pPr>
        <w:pStyle w:val="ListParagraph"/>
        <w:numPr>
          <w:ilvl w:val="0"/>
          <w:numId w:val="2"/>
        </w:numPr>
        <w:spacing w:after="30"/>
      </w:pPr>
      <w:r>
        <w:rPr>
          <w:rFonts w:ascii="Calibri" w:cs="Calibri" w:eastAsia="Calibri" w:hAnsi="Calibri"/>
          <w:sz w:val="19"/>
          <w:szCs w:val="19"/>
        </w:rPr>
        <w:t xml:space="preserve">Quality control: inspection against the drawing and the project’s measurement requirements, plus pre-shipment review.</w:t>
      </w:r>
    </w:p>
    <w:p>
      <w:pPr>
        <w:pStyle w:val="ListParagraph"/>
        <w:numPr>
          <w:ilvl w:val="0"/>
          <w:numId w:val="2"/>
        </w:numPr>
        <w:spacing w:after="30"/>
      </w:pPr>
      <w:r>
        <w:rPr>
          <w:rFonts w:ascii="Calibri" w:cs="Calibri" w:eastAsia="Calibri" w:hAnsi="Calibri"/>
          <w:sz w:val="19"/>
          <w:szCs w:val="19"/>
        </w:rPr>
        <w:t xml:space="preserve">Export-ready: FOB Vietnam as standard; packing, customs clearance and logistics coordinated by ALG.</w:t>
      </w:r>
    </w:p>
    <w:p>
      <w:pPr>
        <w:pBdr>
          <w:bottom w:val="single" w:color="1F3A5F" w:sz="6" w:space="1"/>
        </w:pBdr>
        <w:spacing w:after="40" w:before="120"/>
      </w:pPr>
      <w:r>
        <w:rPr>
          <w:rFonts w:ascii="Calibri" w:cs="Calibri" w:eastAsia="Calibri" w:hAnsi="Calibri"/>
          <w:b/>
          <w:bCs/>
          <w:color w:val="1F3A5F"/>
          <w:sz w:val="21"/>
          <w:szCs w:val="21"/>
        </w:rPr>
        <w:t xml:space="preserve">Looking for</w:t>
      </w:r>
    </w:p>
    <w:p>
      <w:pPr>
        <w:spacing w:after="60"/>
      </w:pPr>
      <w:r>
        <w:rPr>
          <w:rFonts w:ascii="Calibri" w:cs="Calibri" w:eastAsia="Calibri" w:hAnsi="Calibri"/>
          <w:sz w:val="19"/>
          <w:szCs w:val="19"/>
        </w:rPr>
        <w:t xml:space="preserve">Canadian manufacturers, distributors and OEMs seeking a Vietnam source for fabricated, stamped or machined metal parts made to drawing.</w:t>
      </w:r>
    </w:p>
    <w:p>
      <w:pPr>
        <w:pBdr>
          <w:bottom w:val="single" w:color="1F3A5F" w:sz="6" w:space="1"/>
        </w:pBdr>
        <w:spacing w:after="40" w:before="120"/>
      </w:pPr>
      <w:r>
        <w:rPr>
          <w:rFonts w:ascii="Calibri" w:cs="Calibri" w:eastAsia="Calibri" w:hAnsi="Calibri"/>
          <w:b/>
          <w:bCs/>
          <w:color w:val="1F3A5F"/>
          <w:sz w:val="21"/>
          <w:szCs w:val="21"/>
        </w:rPr>
        <w:t xml:space="preserve">Contact</w:t>
      </w:r>
    </w:p>
    <w:p>
      <w:pPr>
        <w:spacing w:after="20"/>
      </w:pPr>
      <w:r>
        <w:rPr>
          <w:rFonts w:ascii="Calibri" w:cs="Calibri" w:eastAsia="Calibri" w:hAnsi="Calibri"/>
          <w:b/>
          <w:bCs/>
          <w:sz w:val="19"/>
          <w:szCs w:val="19"/>
        </w:rPr>
        <w:t xml:space="preserve">Mr. Long (Le Trung Nhat) – Director</w:t>
      </w:r>
    </w:p>
    <w:p>
      <w:pPr>
        <w:spacing w:after="20"/>
      </w:pPr>
      <w:r>
        <w:rPr>
          <w:rFonts w:ascii="Calibri" w:cs="Calibri" w:eastAsia="Calibri" w:hAnsi="Calibri"/>
          <w:sz w:val="19"/>
          <w:szCs w:val="19"/>
        </w:rPr>
        <w:t xml:space="preserve">Email: long.algvn@gmail.com   |   Phone / WhatsApp / Zalo: +84 794 498 586   |   Phone: +84 938 182 195</w:t>
      </w:r>
    </w:p>
    <w:p>
      <w:pPr>
        <w:spacing w:after="20"/>
      </w:pPr>
      <w:r>
        <w:rPr>
          <w:rFonts w:ascii="Calibri" w:cs="Calibri" w:eastAsia="Calibri" w:hAnsi="Calibri"/>
          <w:sz w:val="19"/>
          <w:szCs w:val="19"/>
        </w:rPr>
        <w:t xml:space="preserve">Head office: 198/9 Huynh Thi Mai Street, Hoc Mon, Ho Chi Minh City, Vietnam   |   Tax code: 0319327465</w:t>
      </w:r>
    </w:p>
    <w:p>
      <w:pPr>
        <w:spacing w:after="60"/>
      </w:pPr>
      <w:r>
        <w:rPr>
          <w:rFonts w:ascii="Calibri" w:cs="Calibri" w:eastAsia="Calibri" w:hAnsi="Calibri"/>
          <w:sz w:val="19"/>
          <w:szCs w:val="19"/>
        </w:rPr>
        <w:t xml:space="preserve">Office: 40/3 Binh Giao Quarter, Thuan Giao Ward, Ho Chi Minh City, Vietnam</w:t>
      </w:r>
    </w:p>
    <w:p>
      <w:r>
        <w:br w:type="page"/>
      </w:r>
    </w:p>
    <w:p>
      <w:pPr>
        <w:spacing w:after="160"/>
        <w:jc w:val="center"/>
      </w:pPr>
      <w:r>
        <w:rPr>
          <w:rFonts w:ascii="Calibri" w:cs="Calibri" w:eastAsia="Calibri" w:hAnsi="Calibri"/>
          <w:b/>
          <w:bCs/>
          <w:color w:val="1F3A5F"/>
          <w:sz w:val="26"/>
          <w:szCs w:val="26"/>
        </w:rPr>
        <w:t xml:space="preserve">ALG Technology – Products &amp; Manufacturing Sources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4500"/>
        <w:gridCol w:w="4500"/>
      </w:tblGrid>
      <w:tr>
        <w:tc>
          <w:tcPr>
            <w:tcW w:type="dxa" w:w="4500"/>
            <w:tcBorders>
              <w:top w:val="none" w:color="FFFFFF" w:sz="0"/>
              <w:left w:val="none" w:color="FFFFFF" w:sz="0"/>
              <w:bottom w:val="none" w:color="FFFFFF" w:sz="0"/>
              <w:right w:val="none" w:color="FFFFFF" w:sz="0"/>
            </w:tcBorders>
          </w:tcPr>
          <w:p>
            <w:pPr>
              <w:jc w:val="center"/>
            </w:pPr>
            <w:r>
              <w:drawing>
                <wp:inline distT="0" distB="0" distL="0" distR="0">
                  <wp:extent cx="2667000" cy="20002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2667000" cy="2000250"/>
                          </a:xfrm>
                          <a:prstGeom prst="rect">
                            <a:avLst/>
                          </a:prstGeom>
                        </pic:spPr>
                      </pic:pic>
                    </a:graphicData>
                  </a:graphic>
                </wp:inline>
              </w:drawing>
            </w:r>
          </w:p>
          <w:p>
            <w:pPr>
              <w:spacing w:after="160"/>
              <w:jc w:val="center"/>
            </w:pPr>
            <w:r>
              <w:rPr>
                <w:rFonts w:ascii="Calibri" w:cs="Calibri" w:eastAsia="Calibri" w:hAnsi="Calibri"/>
                <w:i/>
                <w:iCs/>
                <w:sz w:val="18"/>
                <w:szCs w:val="18"/>
              </w:rPr>
              <w:t xml:space="preserve">Stamped and formed metal parts</w:t>
            </w:r>
          </w:p>
        </w:tc>
        <w:tc>
          <w:tcPr>
            <w:tcW w:type="dxa" w:w="4500"/>
            <w:tcBorders>
              <w:top w:val="none" w:color="FFFFFF" w:sz="0"/>
              <w:left w:val="none" w:color="FFFFFF" w:sz="0"/>
              <w:bottom w:val="none" w:color="FFFFFF" w:sz="0"/>
              <w:right w:val="none" w:color="FFFFFF" w:sz="0"/>
            </w:tcBorders>
          </w:tcPr>
          <w:p>
            <w:pPr>
              <w:jc w:val="center"/>
            </w:pPr>
            <w:r>
              <w:drawing>
                <wp:inline distT="0" distB="0" distL="0" distR="0">
                  <wp:extent cx="2667000" cy="20002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2667000" cy="2000250"/>
                          </a:xfrm>
                          <a:prstGeom prst="rect">
                            <a:avLst/>
                          </a:prstGeom>
                        </pic:spPr>
                      </pic:pic>
                    </a:graphicData>
                  </a:graphic>
                </wp:inline>
              </w:drawing>
            </w:r>
          </w:p>
          <w:p>
            <w:pPr>
              <w:spacing w:after="160"/>
              <w:jc w:val="center"/>
            </w:pPr>
            <w:r>
              <w:rPr>
                <w:rFonts w:ascii="Calibri" w:cs="Calibri" w:eastAsia="Calibri" w:hAnsi="Calibri"/>
                <w:i/>
                <w:iCs/>
                <w:sz w:val="18"/>
                <w:szCs w:val="18"/>
              </w:rPr>
              <w:t xml:space="preserve">Progressive stamping die</w:t>
            </w:r>
          </w:p>
        </w:tc>
      </w:tr>
      <w:tr>
        <w:tc>
          <w:tcPr>
            <w:tcW w:type="dxa" w:w="4500"/>
            <w:tcBorders>
              <w:top w:val="none" w:color="FFFFFF" w:sz="0"/>
              <w:left w:val="none" w:color="FFFFFF" w:sz="0"/>
              <w:bottom w:val="none" w:color="FFFFFF" w:sz="0"/>
              <w:right w:val="none" w:color="FFFFFF" w:sz="0"/>
            </w:tcBorders>
          </w:tcPr>
          <w:p>
            <w:pPr>
              <w:jc w:val="center"/>
            </w:pPr>
            <w:r>
              <w:drawing>
                <wp:inline distT="0" distB="0" distL="0" distR="0">
                  <wp:extent cx="2667000" cy="20002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2667000" cy="2000250"/>
                          </a:xfrm>
                          <a:prstGeom prst="rect">
                            <a:avLst/>
                          </a:prstGeom>
                        </pic:spPr>
                      </pic:pic>
                    </a:graphicData>
                  </a:graphic>
                </wp:inline>
              </w:drawing>
            </w:r>
          </w:p>
          <w:p>
            <w:pPr>
              <w:spacing w:after="160"/>
              <w:jc w:val="center"/>
            </w:pPr>
            <w:r>
              <w:rPr>
                <w:rFonts w:ascii="Calibri" w:cs="Calibri" w:eastAsia="Calibri" w:hAnsi="Calibri"/>
                <w:i/>
                <w:iCs/>
                <w:sz w:val="18"/>
                <w:szCs w:val="18"/>
              </w:rPr>
              <w:t xml:space="preserve">CNC machining at a partner source</w:t>
            </w:r>
          </w:p>
        </w:tc>
        <w:tc>
          <w:tcPr>
            <w:tcW w:type="dxa" w:w="4500"/>
            <w:tcBorders>
              <w:top w:val="none" w:color="FFFFFF" w:sz="0"/>
              <w:left w:val="none" w:color="FFFFFF" w:sz="0"/>
              <w:bottom w:val="none" w:color="FFFFFF" w:sz="0"/>
              <w:right w:val="none" w:color="FFFFFF" w:sz="0"/>
            </w:tcBorders>
          </w:tcPr>
          <w:p>
            <w:pPr>
              <w:jc w:val="center"/>
            </w:pPr>
            <w:r>
              <w:drawing>
                <wp:inline distT="0" distB="0" distL="0" distR="0">
                  <wp:extent cx="2667000" cy="20002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2667000" cy="2000250"/>
                          </a:xfrm>
                          <a:prstGeom prst="rect">
                            <a:avLst/>
                          </a:prstGeom>
                        </pic:spPr>
                      </pic:pic>
                    </a:graphicData>
                  </a:graphic>
                </wp:inline>
              </w:drawing>
            </w:r>
          </w:p>
          <w:p>
            <w:pPr>
              <w:spacing w:after="160"/>
              <w:jc w:val="center"/>
            </w:pPr>
            <w:r>
              <w:rPr>
                <w:rFonts w:ascii="Calibri" w:cs="Calibri" w:eastAsia="Calibri" w:hAnsi="Calibri"/>
                <w:i/>
                <w:iCs/>
                <w:sz w:val="18"/>
                <w:szCs w:val="18"/>
              </w:rPr>
              <w:t xml:space="preserve">Press line production</w:t>
            </w:r>
          </w:p>
        </w:tc>
      </w:tr>
      <w:tr>
        <w:tc>
          <w:tcPr>
            <w:tcW w:type="dxa" w:w="4500"/>
            <w:tcBorders>
              <w:top w:val="none" w:color="FFFFFF" w:sz="0"/>
              <w:left w:val="none" w:color="FFFFFF" w:sz="0"/>
              <w:bottom w:val="none" w:color="FFFFFF" w:sz="0"/>
              <w:right w:val="none" w:color="FFFFFF" w:sz="0"/>
            </w:tcBorders>
          </w:tcPr>
          <w:p>
            <w:pPr>
              <w:jc w:val="center"/>
            </w:pPr>
            <w:r>
              <w:drawing>
                <wp:inline distT="0" distB="0" distL="0" distR="0">
                  <wp:extent cx="2667000" cy="20002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2667000" cy="2000250"/>
                          </a:xfrm>
                          <a:prstGeom prst="rect">
                            <a:avLst/>
                          </a:prstGeom>
                        </pic:spPr>
                      </pic:pic>
                    </a:graphicData>
                  </a:graphic>
                </wp:inline>
              </w:drawing>
            </w:r>
          </w:p>
          <w:p>
            <w:pPr>
              <w:spacing w:after="160"/>
              <w:jc w:val="center"/>
            </w:pPr>
            <w:r>
              <w:rPr>
                <w:rFonts w:ascii="Calibri" w:cs="Calibri" w:eastAsia="Calibri" w:hAnsi="Calibri"/>
                <w:i/>
                <w:iCs/>
                <w:sz w:val="18"/>
                <w:szCs w:val="18"/>
              </w:rPr>
              <w:t xml:space="preserve">Dimensional inspection</w:t>
            </w:r>
          </w:p>
        </w:tc>
        <w:tc>
          <w:tcPr>
            <w:tcW w:type="dxa" w:w="4500"/>
            <w:tcBorders>
              <w:top w:val="none" w:color="FFFFFF" w:sz="0"/>
              <w:left w:val="none" w:color="FFFFFF" w:sz="0"/>
              <w:bottom w:val="none" w:color="FFFFFF" w:sz="0"/>
              <w:right w:val="none" w:color="FFFFFF" w:sz="0"/>
            </w:tcBorders>
          </w:tcPr>
          <w:p>
            <w:pPr>
              <w:jc w:val="center"/>
            </w:pPr>
            <w:r>
              <w:drawing>
                <wp:inline distT="0" distB="0" distL="0" distR="0">
                  <wp:extent cx="2667000" cy="20002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2667000" cy="2000250"/>
                          </a:xfrm>
                          <a:prstGeom prst="rect">
                            <a:avLst/>
                          </a:prstGeom>
                        </pic:spPr>
                      </pic:pic>
                    </a:graphicData>
                  </a:graphic>
                </wp:inline>
              </w:drawing>
            </w:r>
          </w:p>
          <w:p>
            <w:pPr>
              <w:spacing w:after="160"/>
              <w:jc w:val="center"/>
            </w:pPr>
            <w:r>
              <w:rPr>
                <w:rFonts w:ascii="Calibri" w:cs="Calibri" w:eastAsia="Calibri" w:hAnsi="Calibri"/>
                <w:i/>
                <w:iCs/>
                <w:sz w:val="18"/>
                <w:szCs w:val="18"/>
              </w:rPr>
              <w:t xml:space="preserve">Export packing in wooden crates</w:t>
            </w:r>
          </w:p>
        </w:tc>
      </w:tr>
    </w:tbl>
    <w:p>
      <w:pPr>
        <w:spacing w:after="60"/>
        <w:jc w:val="center"/>
      </w:pPr>
      <w:r>
        <w:rPr>
          <w:rFonts w:ascii="Calibri" w:cs="Calibri" w:eastAsia="Calibri" w:hAnsi="Calibri"/>
          <w:sz w:val="16"/>
          <w:szCs w:val="16"/>
        </w:rPr>
        <w:t xml:space="preserve">Photos show parts and facilities at manufacturing sources in ALG’s partner network. ALG does not operate a factory.</w:t>
      </w:r>
    </w:p>
    <w:sectPr>
      <w:pgSz w:w="11906" w:h="16838" w:orient="portrait"/>
      <w:pgMar w:top="850" w:right="1000" w:bottom="750" w:left="10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360" w:hanging="22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4717194f71f00cf07282ad416735fdaec014e7b6.jpg"/><Relationship Id="rId8" Type="http://schemas.openxmlformats.org/officeDocument/2006/relationships/image" Target="media/09be94c4402c7f2fb404a52cf8681ff192767c1f.jpg"/><Relationship Id="rId9" Type="http://schemas.openxmlformats.org/officeDocument/2006/relationships/image" Target="media/af784fe8841de084df3c707bbb626a025c1c29a9.jpg"/><Relationship Id="rId10" Type="http://schemas.openxmlformats.org/officeDocument/2006/relationships/image" Target="media/89316ae6319e73d1e7c5edc356e5e774b59e7037.jpg"/><Relationship Id="rId11" Type="http://schemas.openxmlformats.org/officeDocument/2006/relationships/image" Target="media/e364738248f47fb81df228fc13e6157da1c75acb.jpg"/><Relationship Id="rId12" Type="http://schemas.openxmlformats.org/officeDocument/2006/relationships/image" Target="media/56831b45ff3297784f93eefca14aa014ee6766c6.jpg"/><Relationship Id="rId13"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2026-10-07T11:44:09.997Z</dcterms:created>
  <dcterms:modified xsi:type="dcterms:W3CDTF">2026-10-07T11:44:10.002Z</dcterms:modified>
</cp:coreProperties>
</file>

<file path=docProps/custom.xml><?xml version="1.0" encoding="utf-8"?>
<Properties xmlns="http://schemas.openxmlformats.org/officeDocument/2006/custom-properties" xmlns:vt="http://schemas.openxmlformats.org/officeDocument/2006/docPropsVTypes"/>
</file>